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r>
        <w:t xml:space="preserve"> </w:t>
      </w:r>
      <w:r>
        <w:t xml:space="preserve">in</w:t>
      </w:r>
      <w:r>
        <w:t xml:space="preserve"> </w:t>
      </w:r>
      <w:r>
        <w:t xml:space="preserve">a</w:t>
      </w:r>
      <w:r>
        <w:t xml:space="preserve"> </w:t>
      </w:r>
      <w:r>
        <w:t xml:space="preserve">Turkey</w:t>
      </w:r>
      <w:r>
        <w:t xml:space="preserve"> </w:t>
      </w:r>
      <w:r>
        <w:t xml:space="preserve">B-cell</w:t>
      </w:r>
      <w:r>
        <w:t xml:space="preserve"> </w:t>
      </w:r>
      <w:r>
        <w:t xml:space="preserve">Line</w:t>
      </w:r>
    </w:p>
    <w:p>
      <w:pPr>
        <w:pStyle w:val="FirstParagraph"/>
      </w:pPr>
      <w:r>
        <w:rPr>
          <w:b/>
          <w:bCs/>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E.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Characterizing the splice map of turkey hemorrhagic enteritis virus (THEV) is an essential step that would allow studies of individual genes mediating its immunosuppressive functions. We used an RNA-sequencing experiment to characterize the transcriptome of THEV for the first time, providing key insight into the THEV gene expression and mRNA structures. Researchers previously annotated THEV’s genome as encoding 23 open reading frames (ORFs). In this work we identified 29 spliced transcripts all of which consisted of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unique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unpredicted ORFs that could potentially be translated; although it is beyond the scope of this manuscript to investigate whether they are translated. Similar to other adenoviruses (AdVs), THEV also produces multiple distinctly spliced transcripts that code for the same proteins across its genome. Our data show that all THEV transcripts are spliced and organized into five transcription units under the control of their cognate promoters like other AdVs. However, our data suggest that the temporal regulation of THEV may be different from other AdVs.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(IS), intestinal lesions leading to bloody diarrhea, and up to 80% mortality</w:t>
      </w:r>
      <w:r>
        <w:t xml:space="preserve"> </w:t>
      </w:r>
      <w:r>
        <w:t xml:space="preserve">(2, 11–13)</w:t>
      </w:r>
      <w:r>
        <w:t xml:space="preserve">. While the current vaccine strain (a THEV-A strain isolated from a pheasant;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immunossupressive effect of the vaccine strain, a thorough investigation of the culprit viral genes mediating this phenomenon is essential. However, the transcriptome (splicing and gene expression patterns) of THEV has not been characterized, making an investigation of specific IS-related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(10, 19)</w:t>
      </w:r>
      <w:r>
        <w:t xml:space="preserve">. MAdV transcription is temporally regulated; therefore,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the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previous study by Aboezz</w:t>
      </w:r>
      <w:r>
        <w:t xml:space="preserve"> </w:t>
      </w:r>
      <w:r>
        <w:rPr>
          <w:i/>
          <w:iCs/>
        </w:rPr>
        <w:t xml:space="preserve">et al</w:t>
      </w:r>
      <w:r>
        <w:t xml:space="preserve"> </w:t>
      </w:r>
      <w:r>
        <w:t xml:space="preserve">showed that almost all THEV transcripts were detectable beginning at 4 hours, with a full replication cycle of about 18-hours post infection (hpi)</w:t>
      </w:r>
      <w:r>
        <w:t xml:space="preserve"> </w:t>
      </w:r>
      <w:r>
        <w:t xml:space="preserve">(24)</w:t>
      </w:r>
      <w:r>
        <w:t xml:space="preserve">. Therefore, infected MDTC-RP19 cells were harvested at 4-, 12-, 24-, and 72-hpi to ensure a wide time window to sample all transcripts. Our paired-end RNA sequencing (RNA-seq) experiment yielded an average of 107.1 million total reads of 149 bp in length per time-point, which were simultaneously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this provided good coverage/depth, leaving no regions unmapped. The mapped reads to the virus genome increased substantially from a mere 432 reads at 4 hpi to 16.9 million reads at 72 hpi (</w:t>
      </w:r>
      <w:r>
        <w:rPr>
          <w:b/>
          <w:bCs/>
        </w:rPr>
        <w:t xml:space="preserve">Table 1</w:t>
      </w:r>
      <w:r>
        <w:t xml:space="preserve">,</w:t>
      </w:r>
      <w:r>
        <w:t xml:space="preserve"> </w:t>
      </w:r>
      <w:r>
        <w:rPr>
          <w:b/>
          <w:bCs/>
        </w:rPr>
        <w:t xml:space="preserve">Figure 2A</w:t>
      </w:r>
      <w:r>
        <w:t xml:space="preserve">). From the mapped reads, we identified a total of 2,457 unique THEV splice junctions from all time-points, with splice junctions from the later time-points being supported by significantly more sequence reads than earlier time-points. For example, all the 13 unique junctions at 4 hpi had less than 10 reads supporting each one, averaging a mere 2.8 reads per junction. Conversely, the 2,374 unique junctions at 72 hpi averaged 898.4 reads per junction, some junctions having coverage as high as 322,677 reads. The substantial increases in splice junction and mapping reads to the THEV genome over time denotes an active infection and a successful viral replication, and correlates with our quantitative PCR (qPCR) assay quantifying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using the genomic location of the prior predicted THEV ORFs as a guide. In the consolidated transcriptome, a composite of all non-redundant transcripts from all time points, we counted a total of 29 novel transcripts. We found that a subset of exons in the viral transcripts match the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occurs under exquisite temporal control with each promoter typically producing one or few pre-mRNAs that undergo alternative splicing to yield a repertoire of mature mRNAs. To evaluate the activity of each promoter over time, StringTie and Ballgown (a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33.58%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
          <w:bCs/>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
          <w:bCs/>
        </w:rPr>
        <w:t xml:space="preserve">Figure 4B</w:t>
      </w:r>
      <w:r>
        <w:t xml:space="preserve">). Secondly, we estimated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meet the 1% threshold, and were comprised of predominantly early region (E1, E2, E3, and E4) junctions, albeit the MLTU was the single most preponderant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also. However, here, the MLP-derived junctions were unsurprisingly even more preponderant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other viral promoters</w:t>
      </w:r>
      <w:r>
        <w:t xml:space="preserve"> </w:t>
      </w:r>
      <w:r>
        <w:t xml:space="preserve">(10)</w:t>
      </w:r>
      <w:r>
        <w:t xml:space="preserve">. In MAdVs, this region is subdivided into E1a and E2b units, but the transcripts found in our data categorized under this region do not appear to be subdivided.</w:t>
      </w:r>
    </w:p>
    <w:p>
      <w:pPr>
        <w:pStyle w:val="BodyText"/>
      </w:pPr>
      <w:r>
        <w:t xml:space="preserve">Only two ORFs (ORF1 [sialidase] and Hyd) are predicted in this region; however, we discovered four novel transcripts in this region, which collectively contain 3 unique splice junctions (</w:t>
      </w:r>
      <w:r>
        <w:rPr>
          <w:b/>
          <w:bCs/>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(SC), TRXPT_2 encodes the largest protein in this region – a 64.3 kDa, 580 aa protein (ORF10) with the same SC as ORF9 (position 211 bp). ORF10 spans almost the entire predicted ORF1 and Hyd, coming short in two regards: it is spliced from 1655 bp to 1964 bp (ORF1’s C-terminus, including the stop codon), and its stop codon (STC; position 2312) is 13 bp short of the Hyd STC. However, it has an SC 102 bp upstream and in-frame with ORF1’s predicted SC. Thus, ORF10 shares substantial protein sequence similarity with ORF1 but not with Hyd, as the SC of Hyd is not in-frame. Without its splice site removing the ORF1 STC, TRXPT_2 would encode a longer variant of ORF1, starting from an upstream SC. TRXPT_3 is almost identical to TRXPT_1, except for the lack of TRXPT_1’s second exon. Our RNA-seq data show that all E1 transcripts share the same transcription termination site (TTS; at position 2325 bp). However, TRXPT_3 and TRXPT_4 seem to have transcription start sites (TSS) downstream of the TSS of TRXPT_1 and TRXPT_2 (E1 TSS; position: 54 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CP remains unaffected. Its 5’-most CDS, beginning at 1965 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 it is a genuinely expressed ORF. Unlike TRXPT_3, the CP of TRXPT_4 is affected by the TSS considered; if we consider its unmodified TSS, then its CP is identical to TRXPT_3. However, if we assume that TRXPT_4 uses the E1 TSS, then the 5’-most CDS is a distinct, novel, multi-exonic 15.9 kDa, 143 aa protein (ORF11) with the same SC as ORF9 and ORF10 but with a unique STC.</w:t>
      </w:r>
    </w:p>
    <w:p>
      <w:pPr>
        <w:pStyle w:val="BodyText"/>
      </w:pPr>
      <w:r>
        <w:t xml:space="preserve">The splice junctions of all transcripts in this region (except the junction for TRXPT_4) were validated by cloning of viral cDNA and Sanger sequencing (</w:t>
      </w:r>
      <w:r>
        <w:rPr>
          <w:b/>
          <w:bCs/>
        </w:rPr>
        <w:t xml:space="preserve">Supplementary PCR methods</w:t>
      </w:r>
      <w:r>
        <w:t xml:space="preserve">). During the validation of TRXPT_2, we found ORF1 to be present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any splicing, with a poly-A tail immediately after the E1 TTS. The 5’-most CDS of this transcript (TRXPT_2B) would encode ORF1. However, TRXPT_2B has an upstream and in-frame SC to the predicted SC of ORF1, suggesting that the predicted ORF1 CDS is truncated – the actual ORF1 (eORF1) that is expressed shares the same SC as ORF10, but has a unique STC.</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 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 RACE experiment. Additionally, from the 3’ RACE data, we found a splice variant of TRXPT_21 which retains the second intron leading to a 2-exon transcript. This new transcript (TRXPT_21B), albeit longer due to retaining the second intron and possessing a short 3’ UTR, encodes a truncated isoform of DBP (tDBP) because the SC utilized by TRXPT_21, is followed shortly by STCs in the retained intron. The SC 173 bp downstream of the DBP 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occurs, suggesting this position (16,934 bp) as the true E2A TTS (</w:t>
      </w:r>
      <w:r>
        <w:rPr>
          <w:b/>
          <w:bCs/>
        </w:rPr>
        <w:t xml:space="preserve">Figure 7</w:t>
      </w:r>
      <w:r>
        <w:t xml:space="preserve">).</w:t>
      </w:r>
    </w:p>
    <w:p>
      <w:pPr>
        <w:pStyle w:val="BodyText"/>
      </w:pPr>
      <w:r>
        <w:t xml:space="preserve">The E2B region transcripts also start with the E2-5’UTR but extend thousands of base pairs downstream to reach the TTS at 2334 bp in the IM region, which is immediately followed by an A/T-rich sequence (position 2323-2339 bp) where polyadenylation probably occurs. Interestingly, the TTS of the E1 region (position 2,325 bp) on the sense strand is also in the immediate vicinity of this A/T-rich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
          <w:bCs/>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SC of pTP) is significantly longer than predicted, and the last exon containing the bulk of the CDS is more than triple the predicted size of pTP. The first two exons are 5’-UTRs because the SC here is immediately followed by STCs; thus, the 5’-most SC (position 10,995 bp) of the third exon which matches the predicted SC of pTP is utilized. The encoded product is identical to the predicted pTP protein (597 residues; 70.5 kDa). If secondary SC (secSC) usage is considered, with SC at 6768 bp and STC at 3430 bp, the encoded product is identical to the predicted Ad-pol (polymerase) protein (1112 residues; 129.2 kDa). TRXPT_6 differs from TRXPT_7 by containing an extra splice site at 3447-3515 bp. However, the CP remains similar to that of TRXPT_7 except the Ad-pol encoded from the secSC is a truncated isoform with a new STC resulting from the splice site.</w:t>
      </w:r>
    </w:p>
    <w:p>
      <w:pPr>
        <w:pStyle w:val="BodyText"/>
      </w:pPr>
      <w:r>
        <w:t xml:space="preserve">While both TRXPT_6 and TRXPT_7 have the CP for Ad-pol with secSC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 bp) not found in our RNA-seq data. If initiated from the E2 TSS and terminated at the E2 TTS, this transcript (TRXPT_31) would encode Ad-pol exactly as predicted as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SC. This first SC is 4 codons upstream and in-frame of the predicted IVa2 SC. Except for the four extra N-terminus residues, the entire protein sequence is identical to the predicted IVa2.</w:t>
      </w:r>
    </w:p>
    <w:p>
      <w:pPr>
        <w:pStyle w:val="BodyText"/>
      </w:pPr>
      <w:r>
        <w:rPr>
          <w:b/>
          <w:bCs/>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(10, 17, 18)</w:t>
      </w:r>
      <w:r>
        <w:t xml:space="preserve">. However, some E3 transcripts use the TSS of the MLP. Due to sharing the same TSS, in MAdVs, secSC usage is heavily relied on for gene expression in this region except for 12.5K and transcripts using the MLP TSS, as utilizing only the first 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
          <w:bCs/>
        </w:rPr>
        <w:t xml:space="preserve">Figure 8</w:t>
      </w:r>
      <w:r>
        <w:t xml:space="preserve">). Therefore, we have categorized these two groups together as E3 transcripts.</w:t>
      </w:r>
    </w:p>
    <w:p>
      <w:pPr>
        <w:pStyle w:val="BodyText"/>
      </w:pPr>
      <w:r>
        <w:t xml:space="preserve">We identified seven novel transcripts here (TRXPT_22, TRXPT_23, TRXPT_24, TRXPT_25, TRXPT_26, TRXPT_27, TRXPT_29) from our RNA-seq data, all originating from two distinct TSSs – we consider the first TSS (position 18,230 bp) as corresponding to the L4P and the other at 18,727 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 bp of the predicted 33K (including the SC at 20,142 bp) is spliced out as part of the second intron of TRXPT_24. Thus, the bona fide 33K (e33K) is a 19.8 kDa, 171 residue protein spanning four exons instead of the predicted 120 aa protein. TRXPT_24 also has the CP for pVIII and E3 if we consider downstream SC usage. However, the predicted E3 has an upstream in-frame SC; thus, this longer version of E3 (eE3) is likely the genuinely expressed ORF. TRXPT_29 is the shortest transcript in this TU. It is a two-exon transcript, both exons comprising the CDS. The product of TRXPT_29 is a novel 73 residue protein (8.3KI) sharing the SC of e33K but with a unique STC. TRXPT_23 being spliced identically as TRXPT_29 also encodes 8.3KI from its first SC. Similarly, TRXPT_22 also encodes a 73 aa novel protein (8.3KII) from its first SC that shares over 80% similarity with 8.3KI, but it differs from 8.3KI at the C-terminus. Considering downstream 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
          <w:bCs/>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
          <w:bCs/>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SC as 33K (20,142 bp). Just as seen for 33K, all the transcripts in this region exclude the first 20 bp of 22K (including the 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secSC usage on this transcript yields the predicted 22K ORF precisely as predicted. It also has the CP for pVIII and eE3 in that order. Furthermore, during the validation of the TRXPT_25 splice junction using primers that span its junction (18,350-18,717 bp), we noticed a DNA band that corresponds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E3P but have distinct TTSs. TRXPT_26 is a three-exon transcript but the first two are UTRs. It encodes pVIII as the 5’-most ORF and has the CP for eE3 and Fiber in that order. TRXPT_27 on the other hand, is only a two-exon transcript that is similar to TRXPT_26, only the terminal exon contains the CDSs. It encodes Fiber as the 5’-most ORF, and ORF7 downstream with secSC usage. TRXPT_13, which is an L4 transcript that uses the MLP TSS is discussed under the MLTU transcripts.</w:t>
      </w:r>
    </w:p>
    <w:p>
      <w:pPr>
        <w:pStyle w:val="BodyText"/>
      </w:pPr>
      <w:r>
        <w:rPr>
          <w:b/>
          <w:bCs/>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
          <w:bCs/>
        </w:rPr>
        <w:t xml:space="preserve">Figure 9</w:t>
      </w:r>
      <w:r>
        <w:t xml:space="preserve">). The transcript (TRXPT_28) spans 25192-26247 bp and is spliced at 25701-26055 bp, making a two-exon transcript. The second exon fully matches the predicted ORF8 with 12 extra base pairs at the 3’-end. However, there is an SC in the first exon at position 26246 bp (192 bp upstream of the predicted SC). The encoded protein from this SC is in-frame with the predicted SC found in the second exon; hence, we consider this protein (eORF8 – 26.4 kDa, 229 aa), a longer isoform of the predicted ORF8, as the genuinely expressed ORF with an identical C-terminus to the predicted ORF8 protein.</w:t>
      </w:r>
    </w:p>
    <w:p>
      <w:pPr>
        <w:pStyle w:val="BodyText"/>
      </w:pPr>
      <w:r>
        <w:rPr>
          <w:b/>
          <w:bCs/>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 coding capacity of THEV falls within this TU. Specifically, about 13 out of the 23 predicted ORFs were assigned to this TU, some of which we have categorized under the E3 TU instead. Our RNA-seq data revealed 12 transcripts (TRXPT_8, TRXPT_9, TRXPT_10, TRXPT_11, TRXPT_12, TRXPT_13, TRXPT_14, TRXPT_16, TRXPT_17, TRXPT_18, TRXPT_19, TRXPT_20) in this TU, the majority of which have the 5’ untranslated TPL sequence as seen in all AdVs. For three transcripts (TRXPT_16, TRXPT_17, TRXPT_18), a different leader sequence (sTPL) is used, which differs from the TPL in only one regard: the first TPL exon is substituted for a different first exon, found between the first and second TPL exons. Also, TRXPT_20 seems to include only the third TPL exon (</w:t>
      </w:r>
      <w:r>
        <w:rPr>
          <w:b/>
          <w:bCs/>
        </w:rPr>
        <w:t xml:space="preserve">Figure 10</w:t>
      </w:r>
      <w:r>
        <w:t xml:space="preserve">).</w:t>
      </w:r>
    </w:p>
    <w:p>
      <w:pPr>
        <w:pStyle w:val="BodyText"/>
      </w:pPr>
      <w:r>
        <w:t xml:space="preserve">We identified five TTSs (10,549 bp, 12,709 bp, 16,870 bp, 17,891 bp, 20,865 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it lacks the novel first ORF (8.3KII) of TRXPT_22.</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in our case, there is no prior transcriptomic studies for THEV. Our approach to properly handle this complex data was to use standard RNA-seq analysis programs coupled with some custom analyses and experimentally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the gene expression of AdVs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
          <w:bCs/>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
          <w:bCs/>
        </w:rPr>
        <w:t xml:space="preserve">Figure 3b</w:t>
      </w:r>
      <w:r>
        <w:t xml:space="preserve"> </w:t>
      </w:r>
      <w:r>
        <w:t xml:space="preserve">and</w:t>
      </w:r>
      <w:r>
        <w:t xml:space="preserve"> </w:t>
      </w:r>
      <w:r>
        <w:rPr>
          <w:b/>
          <w:bCs/>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(StringTie) to distinguish them. In our results, we see transcripts in the same TU initiated or terminated in the same approximate area (10-70 bp and 1-300 bp apart for TSS and TTS, respectively) but not precisely at the same position. We consider the most upstream TSS or most downstream TTS for the transcripts involved but we present them unchanged in all the figures shown. Also, by comparison to the more well-studied MAdV transcriptomes, we believe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to determine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secSC usage and ribosome shunting</w:t>
      </w:r>
      <w:r>
        <w:t xml:space="preserve"> </w:t>
      </w:r>
      <w:r>
        <w:t xml:space="preserve">(10, 22)</w:t>
      </w:r>
      <w:r>
        <w:t xml:space="preserve">. While there is no reliable method of predicting how efficiently any given AUG will be used, AdVs use secondary AUGs as initiation codons for most E1b proteins and for some E3 proteins. In fact, recent studies show that secSC usage is found transcriptome-wide. This is thought to occur because translation initiation at the first SC is inefficient, allowing downstream 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SC may be selected</w:t>
      </w:r>
      <w:r>
        <w:t xml:space="preserve"> </w:t>
      </w:r>
      <w:r>
        <w:t xml:space="preserve">(10, 22)</w:t>
      </w:r>
      <w:r>
        <w:t xml:space="preserve">. Almost all the THEV transcripts in our data have the CP for several ORFs, some spanning as many as six ORFs but the majority spanning at least two ORFs. Therefore, we believe our data support the usage of these special ribosome initiation mechanisms as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(10, 17, 22, 29)</w:t>
      </w:r>
      <w:r>
        <w:t xml:space="preserve">. The mechanistic details of this phenomenon have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decreases measurably from the onset of the late phase (see</w:t>
      </w:r>
      <w:r>
        <w:t xml:space="preserve"> </w:t>
      </w:r>
      <w:r>
        <w:rPr>
          <w:b/>
          <w:bCs/>
        </w:rPr>
        <w:t xml:space="preserve">Figure 5</w:t>
      </w:r>
      <w:r>
        <w:t xml:space="preserve">). In fact, recent studies of some human AdVs show that a virtually unlimited number of combinatorial alternative splicing events occur in an AdV lytic infection, resulting in menagerie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The capacity to produce novel exon combinations offers the virus an evolutionary advantage to adjust the repertoire of mRNA transcription and protein production in the changing environment of the viral replication cycle</w:t>
      </w:r>
      <w:r>
        <w:t xml:space="preserve"> </w:t>
      </w:r>
      <w:r>
        <w:t xml:space="preserve">(17, 22)</w:t>
      </w:r>
      <w:r>
        <w:t xml:space="preserve">.</w:t>
      </w:r>
    </w:p>
    <w:p>
      <w:pPr>
        <w:pStyle w:val="BodyText"/>
      </w:pPr>
      <w:r>
        <w:t xml:space="preserve">Summarizing all the main points above, we see that the THEV transcriptome bears remarkable overall similarity to the better studied MAdVs. The transcriptome is organized into five TUs, the temporal regulation is divided into early and late genes, and a broad repertoire of transcripts are produced via virtually unlimited alternative splicing. However, the THEV transcriptome appears to be less sophisticated (i.e, it encodes fewer genes) than MAdVs primarily because the MAdV genomes are close to twice as long as that of THEV, which rationally should encode less genes. The lack of subdivision of the E1 region into E1a and E1b is one of the most obvious examples. Also, the MAdV E4 region encodes several proteins unlike in THEV where only one transcript coding for one protein was found. The most conspicuous example is found in examining the complexity of the MLTU leader sequences. While the majority of the THEV MLTU transcripts begin with the TPL (267 bp long) just like MAdVs, and also utilize a variant leader sequence (sTPL), it is well-established that significantly more diverse 5’UTRs are employed for MAdV MLTU transcripts. Namely, the TPL (used for majority of transcripts), the so-called x, y, and z leaders, and the i-leader are 5’ leaders utilized by MAdV MLTU mRNAs. Granted, the MAdV MLTU transcripts infrequently incorporate the non-TPL leaders, their absence in our data could mean that the 5’UTR diversity of THEV’s MLTU mRNA are indeed more limited due to its smaller genome size. It is also possible that later studies could uncover more variety not seen in our results. Specifically, using long read sequencing technologies would be a excellent approach to discovering and fine-tuning the transcriptome characterized in this work. Also, it is likely that future studies repeating this work in other cell lines will yield some interesting insights.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(30)</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28"/>
    <w:bookmarkStart w:id="29"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(31)</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(32)</w:t>
      </w:r>
      <w:r>
        <w:t xml:space="preserve">, a popular workflow management system to drive the pipeline. Briefly, sequencing reads were trimmed with the Trim-galore - version 0.6.6</w:t>
      </w:r>
      <w:r>
        <w:t xml:space="preserve"> </w:t>
      </w:r>
      <w:r>
        <w:t xml:space="preserve">(33)</w:t>
      </w:r>
      <w:r>
        <w:t xml:space="preserve"> </w:t>
      </w:r>
      <w:r>
        <w:t xml:space="preserve">program to achieve an overall Mean Sequence Quality (Phred Score) 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w:t>
      </w:r>
      <w:r>
        <w:t xml:space="preserve"> </w:t>
      </w:r>
      <w:r>
        <w:t xml:space="preserve">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p>
    <w:bookmarkEnd w:id="36"/>
    <w:bookmarkStart w:id="37"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Kovács2011"/>
    <w:p>
      <w:pPr>
        <w:pStyle w:val="Bibliography"/>
      </w:pPr>
      <w:r>
        <w:t xml:space="preserve">6.</w:t>
      </w:r>
      <w:r>
        <w:t xml:space="preserve"> </w:t>
      </w:r>
      <w:r>
        <w:t xml:space="preserve">	</w:t>
      </w:r>
      <w:r>
        <w:t xml:space="preserve">Kovács ER, Benkő M. 2011.</w:t>
      </w:r>
      <w:r>
        <w:t xml:space="preserve"> </w:t>
      </w:r>
      <w:hyperlink r:id="rId47">
        <w:r>
          <w:rPr>
            <w:rStyle w:val="Hyperlink"/>
          </w:rPr>
          <w:t xml:space="preserve">Complete sequence of raptor adenovirus 1 confirms the characteristic genome organization of siadenoviruses</w:t>
        </w:r>
      </w:hyperlink>
      <w:r>
        <w:t xml:space="preserve">. Infection, Genetics and Evolution 11:1058–1065.</w:t>
      </w:r>
    </w:p>
    <w:bookmarkEnd w:id="48"/>
    <w:bookmarkStart w:id="50" w:name="ref-Davison2000"/>
    <w:p>
      <w:pPr>
        <w:pStyle w:val="Bibliography"/>
      </w:pPr>
      <w:r>
        <w:t xml:space="preserve">7.</w:t>
      </w:r>
      <w:r>
        <w:t xml:space="preserve"> </w:t>
      </w:r>
      <w:r>
        <w:t xml:space="preserve">	</w:t>
      </w:r>
      <w:r>
        <w:t xml:space="preserve">Davison AJ, Wright KM, Harrach B. 2000.</w:t>
      </w:r>
      <w:r>
        <w:t xml:space="preserve"> </w:t>
      </w:r>
      <w:hyperlink r:id="rId49">
        <w:r>
          <w:rPr>
            <w:rStyle w:val="Hyperlink"/>
          </w:rPr>
          <w:t xml:space="preserve">DNA sequence of frog adenovirus</w:t>
        </w:r>
      </w:hyperlink>
      <w:r>
        <w:t xml:space="preserve">. J Gen Virol 81:2431–2439.</w:t>
      </w:r>
    </w:p>
    <w:bookmarkEnd w:id="50"/>
    <w:bookmarkStart w:id="52" w:name="ref-Kovács2010"/>
    <w:p>
      <w:pPr>
        <w:pStyle w:val="Bibliography"/>
      </w:pPr>
      <w:r>
        <w:t xml:space="preserve">8.</w:t>
      </w:r>
      <w:r>
        <w:t xml:space="preserve"> </w:t>
      </w:r>
      <w:r>
        <w:t xml:space="preserve">	</w:t>
      </w:r>
      <w:r>
        <w:t xml:space="preserve">Kovács ER, Jánoska M, Dán Á, Harrach B, Benkő M. 2010.</w:t>
      </w:r>
      <w:r>
        <w:t xml:space="preserve"> </w:t>
      </w:r>
      <w:hyperlink r:id="rId51">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2"/>
    <w:bookmarkStart w:id="54" w:name="ref-Katoh2009"/>
    <w:p>
      <w:pPr>
        <w:pStyle w:val="Bibliography"/>
      </w:pPr>
      <w:r>
        <w:t xml:space="preserve">9.</w:t>
      </w:r>
      <w:r>
        <w:t xml:space="preserve"> </w:t>
      </w:r>
      <w:r>
        <w:t xml:space="preserve">	</w:t>
      </w:r>
      <w:r>
        <w:t xml:space="preserve">Katoh H, Ohya K, Kubo M, Murata K, Yanai T, Fukushi H. 2009.</w:t>
      </w:r>
      <w:r>
        <w:t xml:space="preserve"> </w:t>
      </w:r>
      <w:hyperlink r:id="rId53">
        <w:r>
          <w:rPr>
            <w:rStyle w:val="Hyperlink"/>
          </w:rPr>
          <w:t xml:space="preserve">A novel budgerigar-adenovirus belonging to group II avian adenovirus of siadenovirus</w:t>
        </w:r>
      </w:hyperlink>
      <w:r>
        <w:t xml:space="preserve">. Virus Research 144:294–297.</w:t>
      </w:r>
    </w:p>
    <w:bookmarkEnd w:id="54"/>
    <w:bookmarkStart w:id="56" w:name="ref-Guimet2016"/>
    <w:p>
      <w:pPr>
        <w:pStyle w:val="Bibliography"/>
      </w:pPr>
      <w:r>
        <w:t xml:space="preserve">10.</w:t>
      </w:r>
      <w:r>
        <w:t xml:space="preserve"> </w:t>
      </w:r>
      <w:r>
        <w:t xml:space="preserve">	</w:t>
      </w:r>
      <w:r>
        <w:t xml:space="preserve">Guimet D, Hearing P. 2016.</w:t>
      </w:r>
      <w:r>
        <w:t xml:space="preserve"> </w:t>
      </w:r>
      <w:hyperlink r:id="rId55">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2832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1,436,199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1584"/>
        <w:gridCol w:w="158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 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 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 analysis pipeline (</w:t>
      </w:r>
      <w:r>
        <w:rPr>
          <w:i/>
          <w:iCs/>
        </w:rPr>
        <w:t xml:space="preserve">generated with Snakemake</w:t>
      </w:r>
      <w:r>
        <w:t xml:space="preserve">)</w:t>
      </w:r>
    </w:p>
    <w:bookmarkEnd w:id="13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 in a Turkey B-cell Line</dc:title>
  <dc:creator/>
  <cp:keywords/>
  <dcterms:created xsi:type="dcterms:W3CDTF">2024-03-21T06:04:22Z</dcterms:created>
  <dcterms:modified xsi:type="dcterms:W3CDTF">2024-03-21T00:04:25Z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